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FAE9" w14:textId="1F50B678" w:rsidR="0076220B" w:rsidRPr="00672592" w:rsidRDefault="0076220B" w:rsidP="0076220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72592">
        <w:rPr>
          <w:rFonts w:ascii="Times New Roman" w:hAnsi="Times New Roman" w:cs="Times New Roman"/>
          <w:sz w:val="32"/>
          <w:szCs w:val="32"/>
          <w:lang w:val="kk-KZ"/>
        </w:rPr>
        <w:t xml:space="preserve">6 Дәріс – </w:t>
      </w:r>
      <w:r w:rsidR="00D01527" w:rsidRPr="00672592">
        <w:rPr>
          <w:rFonts w:ascii="Times New Roman" w:hAnsi="Times New Roman" w:cs="Times New Roman"/>
          <w:bCs/>
          <w:sz w:val="32"/>
          <w:szCs w:val="32"/>
          <w:lang w:val="kk-KZ"/>
        </w:rPr>
        <w:t>Тұрақты дамудағы таза энергияның тиімділігі</w:t>
      </w:r>
    </w:p>
    <w:p w14:paraId="5F4D6721" w14:textId="77777777" w:rsidR="0076220B" w:rsidRPr="00672592" w:rsidRDefault="0076220B" w:rsidP="0076220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72592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377A3674" w14:textId="01128A9A" w:rsidR="0076220B" w:rsidRPr="00672592" w:rsidRDefault="0076220B" w:rsidP="0076220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72592">
        <w:rPr>
          <w:rFonts w:ascii="Times New Roman" w:hAnsi="Times New Roman" w:cs="Times New Roman"/>
          <w:sz w:val="32"/>
          <w:szCs w:val="32"/>
          <w:lang w:val="kk-KZ"/>
        </w:rPr>
        <w:t>1.</w:t>
      </w:r>
      <w:r w:rsidRPr="00672592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D01527" w:rsidRPr="00672592">
        <w:rPr>
          <w:rFonts w:ascii="Times New Roman" w:hAnsi="Times New Roman" w:cs="Times New Roman"/>
          <w:bCs/>
          <w:sz w:val="32"/>
          <w:szCs w:val="32"/>
          <w:lang w:val="kk-KZ"/>
        </w:rPr>
        <w:t>Тұрақты дамудағы таза энергияның тиімділігі</w:t>
      </w:r>
    </w:p>
    <w:p w14:paraId="77A736C6" w14:textId="3878907F" w:rsidR="00672592" w:rsidRPr="00672592" w:rsidRDefault="0076220B" w:rsidP="00672592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672592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672592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672592" w:rsidRPr="00672592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bookmarkStart w:id="0" w:name="_Hlk218351495"/>
      <w:r w:rsidR="00672592" w:rsidRPr="00672592">
        <w:rPr>
          <w:rFonts w:ascii="Times New Roman" w:hAnsi="Times New Roman" w:cs="Times New Roman"/>
          <w:bCs/>
          <w:sz w:val="32"/>
          <w:szCs w:val="32"/>
          <w:lang w:val="kk-KZ"/>
        </w:rPr>
        <w:t>Таза энергияны дамытудағы инновацияның атқаратын қызметі</w:t>
      </w:r>
      <w:bookmarkEnd w:id="0"/>
    </w:p>
    <w:p w14:paraId="6687E0CC" w14:textId="5A6EA674" w:rsidR="0076220B" w:rsidRPr="00672592" w:rsidRDefault="0076220B" w:rsidP="0076220B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5EB9A5FF" w14:textId="533FB4FF" w:rsidR="0076220B" w:rsidRPr="00672592" w:rsidRDefault="0076220B" w:rsidP="007622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2592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672592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67259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магистранттарға </w:t>
      </w:r>
      <w:r w:rsidR="00672592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="00D01527" w:rsidRPr="0067259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ұрақты дамудағы таза энергияның тиімділігі </w:t>
      </w:r>
      <w:r w:rsidRPr="00672592">
        <w:rPr>
          <w:rFonts w:ascii="Times New Roman" w:hAnsi="Times New Roman" w:cs="Times New Roman"/>
          <w:bCs/>
          <w:sz w:val="28"/>
          <w:szCs w:val="28"/>
          <w:lang w:val="kk-KZ"/>
        </w:rPr>
        <w:t>жүйелі жан-жақты түсіндіру</w:t>
      </w:r>
    </w:p>
    <w:p w14:paraId="5ECADA9B" w14:textId="77777777" w:rsidR="00CA35B3" w:rsidRPr="00CA35B3" w:rsidRDefault="00CA35B3" w:rsidP="00CA35B3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CA35B3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7: Қымбат емес, сенімді, тұрақты және заманауи энергия көздерінің барлығы үшін жаппай қолжетімділігін қамтамасыз ету</w:t>
      </w:r>
    </w:p>
    <w:p w14:paraId="27314301" w14:textId="77777777" w:rsidR="00CA35B3" w:rsidRPr="00CA35B3" w:rsidRDefault="00CA35B3" w:rsidP="00CA35B3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CA35B3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CA35B3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27E436E9" w14:textId="77777777" w:rsidR="00CA35B3" w:rsidRPr="00CA35B3" w:rsidRDefault="00CA35B3" w:rsidP="00CA35B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қымбат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емес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сенімді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заманауи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энергиямен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жабдықтауды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91B4F4C" w14:textId="77777777" w:rsidR="00CA35B3" w:rsidRPr="00CA35B3" w:rsidRDefault="00CA35B3" w:rsidP="00CA35B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әлемдік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энергетикалық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теңгерімдегі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жаңартылатын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көздерден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энергия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үлесін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7BE21D4" w14:textId="77777777" w:rsidR="00CA35B3" w:rsidRPr="00CA35B3" w:rsidRDefault="00CA35B3" w:rsidP="00CA35B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энергиялық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тиімділіктің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ғаламдық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көрсеткішін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екі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есеге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4248860" w14:textId="77777777" w:rsidR="00CA35B3" w:rsidRPr="00CA35B3" w:rsidRDefault="00CA35B3" w:rsidP="00CA35B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таза энергетика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саласындағы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жаңартылатын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энергетиканы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энергиялық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тиімділікті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қазбалы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отындарды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пайдаланудың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неғұрлым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таза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технологияларын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алғандағы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зерттеулер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жеңілдету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ынтымақтастықты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жандандыру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энергетикалық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инфрақұрылымға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таза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энергетикаға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салынатын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инвестицияларды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көтермелеу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89093DB" w14:textId="77777777" w:rsidR="00CA35B3" w:rsidRPr="00CA35B3" w:rsidRDefault="00CA35B3" w:rsidP="00CA35B3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негізінен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аралдағы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мемлекеттерде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теңізге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шыға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алмайтын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тиісті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бағдарламаларын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заманауи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энергиямен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инфрақұрылымды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технологияларды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жаңғырту</w:t>
      </w:r>
      <w:proofErr w:type="spellEnd"/>
      <w:r w:rsidRPr="00CA35B3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9B3DE35" w14:textId="77777777" w:rsidR="001632AF" w:rsidRDefault="001632AF">
      <w:pPr>
        <w:rPr>
          <w:lang w:val="kk-KZ"/>
        </w:rPr>
      </w:pPr>
    </w:p>
    <w:p w14:paraId="4159E987" w14:textId="77777777" w:rsidR="00CA35B3" w:rsidRDefault="00CA35B3">
      <w:pPr>
        <w:rPr>
          <w:lang w:val="kk-KZ"/>
        </w:rPr>
      </w:pPr>
    </w:p>
    <w:p w14:paraId="66D923FF" w14:textId="63E71963" w:rsidR="00CA35B3" w:rsidRDefault="00CA35B3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33C5C541" wp14:editId="26CE2DA0">
            <wp:extent cx="5940425" cy="4199616"/>
            <wp:effectExtent l="0" t="0" r="3175" b="0"/>
            <wp:docPr id="13" name="Рисунок 12" descr="Изображение выглядит как небо, на открытом воздухе, одежда, челове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Изображение выглядит как небо, на открытом воздухе, одежда, челове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4E3B" w14:textId="77777777" w:rsidR="00CA35B3" w:rsidRDefault="00CA35B3">
      <w:pPr>
        <w:rPr>
          <w:lang w:val="kk-KZ"/>
        </w:rPr>
      </w:pPr>
    </w:p>
    <w:p w14:paraId="6B58BBC2" w14:textId="77777777" w:rsidR="00E3278A" w:rsidRPr="0080216D" w:rsidRDefault="00E3278A" w:rsidP="00E3278A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627E967" w14:textId="77777777" w:rsidR="00E3278A" w:rsidRPr="0080216D" w:rsidRDefault="00E3278A" w:rsidP="00E3278A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0431EBDD" w14:textId="77777777" w:rsidR="00E3278A" w:rsidRPr="0080216D" w:rsidRDefault="00E3278A" w:rsidP="00E3278A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A322FCA" w14:textId="77777777" w:rsidR="00E3278A" w:rsidRPr="0080216D" w:rsidRDefault="00E3278A" w:rsidP="00E3278A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42601C31" w14:textId="77777777" w:rsidR="00E3278A" w:rsidRPr="0080216D" w:rsidRDefault="00E3278A" w:rsidP="00E3278A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7C266C66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691974C5" w14:textId="77777777" w:rsidR="00E3278A" w:rsidRPr="0080216D" w:rsidRDefault="00E3278A" w:rsidP="00E3278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10A1A32E" w14:textId="77777777" w:rsidR="00E3278A" w:rsidRPr="0080216D" w:rsidRDefault="00E3278A" w:rsidP="00E3278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23FDC79F" w14:textId="77777777" w:rsidR="00E3278A" w:rsidRPr="0080216D" w:rsidRDefault="00E3278A" w:rsidP="00E3278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59DFE32C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7D1AE29A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B742310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171CCB2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5C67EC4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2AF9DE3A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4ECF1ECF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7ADDCD8A" w14:textId="77777777" w:rsidR="00E3278A" w:rsidRPr="0080216D" w:rsidRDefault="00E3278A" w:rsidP="00E3278A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2A2323AA" w14:textId="77777777" w:rsidR="00E3278A" w:rsidRPr="0080216D" w:rsidRDefault="00E3278A" w:rsidP="00E3278A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211C0667" w14:textId="77777777" w:rsidR="00E3278A" w:rsidRPr="0080216D" w:rsidRDefault="00E3278A" w:rsidP="00E3278A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4B2E687F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lastRenderedPageBreak/>
        <w:t>1. Оксфорд  экономика сөздігі  = A Dictionary of Economics (Oxford Quick Reference) : сөздік  -Алматы : "Ұлттық аударма бюросы" ҚҚ, 2019 - 606 б.</w:t>
      </w:r>
    </w:p>
    <w:p w14:paraId="4E6BAA20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36A6D3D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74ED67F1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2B97DE3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11F58B0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A9A2F02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280A15C0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5F13F2B" w14:textId="77777777" w:rsidR="00E3278A" w:rsidRPr="0080216D" w:rsidRDefault="00E3278A" w:rsidP="00E3278A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331114FC" w14:textId="77777777" w:rsidR="00E3278A" w:rsidRPr="0080216D" w:rsidRDefault="00E3278A" w:rsidP="00E3278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15EE283" w14:textId="77777777" w:rsidR="00E3278A" w:rsidRPr="0080216D" w:rsidRDefault="00E3278A" w:rsidP="00E3278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202482B3" w14:textId="77777777" w:rsidR="00E3278A" w:rsidRPr="0080216D" w:rsidRDefault="00E3278A" w:rsidP="00E3278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33B6CEF7" w14:textId="77777777" w:rsidR="00E3278A" w:rsidRPr="0080216D" w:rsidRDefault="00E3278A" w:rsidP="00E3278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72EAD94" w14:textId="77777777" w:rsidR="00E3278A" w:rsidRPr="0080216D" w:rsidRDefault="00E3278A" w:rsidP="00E3278A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24C5C40F" w14:textId="77777777" w:rsidR="00E3278A" w:rsidRPr="0080216D" w:rsidRDefault="00E3278A" w:rsidP="00E3278A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51FF3D41" w14:textId="77777777" w:rsidR="00E3278A" w:rsidRPr="0080216D" w:rsidRDefault="00E3278A" w:rsidP="00E3278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7DDBD3B" w14:textId="77777777" w:rsidR="00E3278A" w:rsidRPr="0080216D" w:rsidRDefault="00E3278A" w:rsidP="00E3278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20B15960" w14:textId="77777777" w:rsidR="00E3278A" w:rsidRPr="0080216D" w:rsidRDefault="00E3278A" w:rsidP="00E3278A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EBE82A7" w14:textId="77777777" w:rsidR="00E3278A" w:rsidRPr="0080216D" w:rsidRDefault="00E3278A" w:rsidP="00E3278A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21DC8C8F" w14:textId="77777777" w:rsidR="00E3278A" w:rsidRDefault="00E3278A">
      <w:pPr>
        <w:rPr>
          <w:lang w:val="kk-KZ"/>
        </w:rPr>
      </w:pPr>
    </w:p>
    <w:p w14:paraId="66DA9A27" w14:textId="77777777" w:rsidR="00E3278A" w:rsidRPr="00E3278A" w:rsidRDefault="00E3278A">
      <w:pPr>
        <w:rPr>
          <w:lang w:val="kk-KZ"/>
        </w:rPr>
      </w:pPr>
    </w:p>
    <w:sectPr w:rsidR="00E3278A" w:rsidRPr="00E3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CE3"/>
    <w:multiLevelType w:val="multilevel"/>
    <w:tmpl w:val="511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2"/>
  </w:num>
  <w:num w:numId="3" w16cid:durableId="1568300104">
    <w:abstractNumId w:val="3"/>
  </w:num>
  <w:num w:numId="4" w16cid:durableId="211277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A0"/>
    <w:rsid w:val="001632AF"/>
    <w:rsid w:val="00310446"/>
    <w:rsid w:val="003A3B86"/>
    <w:rsid w:val="003E6D87"/>
    <w:rsid w:val="005F3FA0"/>
    <w:rsid w:val="00672592"/>
    <w:rsid w:val="0076220B"/>
    <w:rsid w:val="00813DEF"/>
    <w:rsid w:val="00CA35B3"/>
    <w:rsid w:val="00D01527"/>
    <w:rsid w:val="00E3278A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17F5"/>
  <w15:chartTrackingRefBased/>
  <w15:docId w15:val="{CF1FF6A7-E13E-4E3F-9ACC-8F2060B4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20B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3278A"/>
    <w:rPr>
      <w:color w:val="0000FF"/>
      <w:u w:val="single"/>
    </w:rPr>
  </w:style>
  <w:style w:type="table" w:styleId="ad">
    <w:name w:val="Table Grid"/>
    <w:basedOn w:val="a1"/>
    <w:uiPriority w:val="39"/>
    <w:rsid w:val="006725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2026-01-03T10:40:00Z</dcterms:created>
  <dcterms:modified xsi:type="dcterms:W3CDTF">2026-01-04T13:03:00Z</dcterms:modified>
</cp:coreProperties>
</file>